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AA2195" w:rsidRDefault="00F92268" w:rsidP="00850792">
      <w:pPr>
        <w:pStyle w:val="BodyText"/>
        <w:rPr>
          <w:sz w:val="6"/>
          <w:szCs w:val="6"/>
        </w:rPr>
      </w:pPr>
      <w:r w:rsidRPr="00AA2195">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AA2195"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AA2195" w:rsidRDefault="00F92268" w:rsidP="00F246C7">
            <w:pPr>
              <w:pStyle w:val="RefTableData"/>
            </w:pPr>
            <w:r w:rsidRPr="00AA2195">
              <w:t>Reference number(s)</w:t>
            </w:r>
          </w:p>
        </w:tc>
      </w:tr>
      <w:tr w:rsidR="00F92268" w:rsidRPr="00AA2195"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914F4E5" w:rsidR="00F92268" w:rsidRPr="00AA2195" w:rsidRDefault="00F72699" w:rsidP="00F246C7">
            <w:pPr>
              <w:pStyle w:val="RefTableHeader"/>
            </w:pPr>
            <w:r w:rsidRPr="00AA2195">
              <w:t>1870-A</w:t>
            </w:r>
          </w:p>
        </w:tc>
      </w:tr>
    </w:tbl>
    <w:p w14:paraId="74FBA5B4" w14:textId="77777777" w:rsidR="00051356" w:rsidRPr="00AA2195" w:rsidRDefault="00051356" w:rsidP="00A672B3">
      <w:pPr>
        <w:pStyle w:val="BodyText"/>
        <w:rPr>
          <w:b/>
          <w:bCs/>
          <w:sz w:val="16"/>
          <w:szCs w:val="16"/>
        </w:rPr>
        <w:sectPr w:rsidR="00051356" w:rsidRPr="00AA2195"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17C72D2" w:rsidR="004B15BB" w:rsidRPr="00AA2195" w:rsidRDefault="00F72699" w:rsidP="007E5C16">
      <w:pPr>
        <w:pStyle w:val="Heading1"/>
      </w:pPr>
      <w:r w:rsidRPr="00AA2195">
        <w:t>Specialty Guideline Management</w:t>
      </w:r>
      <w:r w:rsidRPr="00AA2195">
        <w:br/>
        <w:t>Serostim</w:t>
      </w:r>
    </w:p>
    <w:p w14:paraId="78861C92" w14:textId="59ECAEDF" w:rsidR="00203468" w:rsidRPr="00AA2195" w:rsidRDefault="00C64534" w:rsidP="008E0F0D">
      <w:pPr>
        <w:pStyle w:val="Heading2"/>
      </w:pPr>
      <w:r w:rsidRPr="00AA2195">
        <w:t xml:space="preserve">Products Referenced by this </w:t>
      </w:r>
      <w:r w:rsidR="00501602" w:rsidRPr="00AA2195">
        <w:t>Document</w:t>
      </w:r>
    </w:p>
    <w:p w14:paraId="5455152B" w14:textId="71423149" w:rsidR="008E0F0D" w:rsidRPr="00AA2195" w:rsidRDefault="00D82D85" w:rsidP="008B73E8">
      <w:pPr>
        <w:pStyle w:val="BodyText"/>
      </w:pPr>
      <w:r w:rsidRPr="00AA2195">
        <w:t xml:space="preserve">Drugs that are listed in the </w:t>
      </w:r>
      <w:r w:rsidR="000315F1" w:rsidRPr="00AA2195">
        <w:t>following table</w:t>
      </w:r>
      <w:r w:rsidRPr="00AA2195">
        <w:t xml:space="preserve"> include both brand and generic and all dosage forms and strengths unless otherwise stated. </w:t>
      </w:r>
      <w:r w:rsidR="00430BC3">
        <w:t>Over-the-counter (</w:t>
      </w:r>
      <w:r w:rsidRPr="00AA2195">
        <w:t>OTC</w:t>
      </w:r>
      <w:r w:rsidR="00430BC3">
        <w:t>)</w:t>
      </w:r>
      <w:r w:rsidRPr="00AA2195">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AA2195" w14:paraId="158421F8" w14:textId="77777777" w:rsidTr="000C5A6F">
        <w:trPr>
          <w:cantSplit/>
          <w:trHeight w:val="288"/>
          <w:tblHeader/>
        </w:trPr>
        <w:tc>
          <w:tcPr>
            <w:tcW w:w="5265" w:type="dxa"/>
            <w:vAlign w:val="center"/>
          </w:tcPr>
          <w:p w14:paraId="2A27354A" w14:textId="1390179E" w:rsidR="00252CE1" w:rsidRPr="00AA2195" w:rsidRDefault="00252CE1" w:rsidP="00AA1E6A">
            <w:pPr>
              <w:pStyle w:val="TableHeader"/>
            </w:pPr>
            <w:bookmarkStart w:id="0" w:name="_Hlk159603270"/>
            <w:r w:rsidRPr="00AA2195">
              <w:t>Brand Name</w:t>
            </w:r>
          </w:p>
        </w:tc>
        <w:tc>
          <w:tcPr>
            <w:tcW w:w="5595" w:type="dxa"/>
            <w:vAlign w:val="center"/>
          </w:tcPr>
          <w:p w14:paraId="3D342BE1" w14:textId="75F11EF1" w:rsidR="00252CE1" w:rsidRPr="00AA2195" w:rsidRDefault="00252CE1" w:rsidP="00AA1E6A">
            <w:pPr>
              <w:pStyle w:val="TableHeader"/>
            </w:pPr>
            <w:r w:rsidRPr="00AA2195">
              <w:t>Generic Name</w:t>
            </w:r>
          </w:p>
        </w:tc>
      </w:tr>
      <w:tr w:rsidR="00585FFF" w:rsidRPr="00AA2195" w14:paraId="2AD5C02D" w14:textId="77777777" w:rsidTr="000C5A6F">
        <w:trPr>
          <w:cantSplit/>
        </w:trPr>
        <w:tc>
          <w:tcPr>
            <w:tcW w:w="5265" w:type="dxa"/>
          </w:tcPr>
          <w:p w14:paraId="2D8FA8E3" w14:textId="582D1AFD" w:rsidR="00585FFF" w:rsidRPr="00AA2195" w:rsidRDefault="00F72699" w:rsidP="00E82ABA">
            <w:pPr>
              <w:pStyle w:val="TableDataUnpadded"/>
            </w:pPr>
            <w:r w:rsidRPr="00AA2195">
              <w:t>Serostim</w:t>
            </w:r>
          </w:p>
        </w:tc>
        <w:tc>
          <w:tcPr>
            <w:tcW w:w="5595" w:type="dxa"/>
          </w:tcPr>
          <w:p w14:paraId="7E26A004" w14:textId="0E0BAC75" w:rsidR="00585FFF" w:rsidRPr="00AA2195" w:rsidRDefault="00F72699" w:rsidP="00E82ABA">
            <w:pPr>
              <w:pStyle w:val="TableDataUnpadded"/>
            </w:pPr>
            <w:r w:rsidRPr="00AA2195">
              <w:t>somatropin</w:t>
            </w:r>
          </w:p>
        </w:tc>
      </w:tr>
    </w:tbl>
    <w:bookmarkEnd w:id="0"/>
    <w:p w14:paraId="14CE6108" w14:textId="18F5E615" w:rsidR="00FC1AAD" w:rsidRPr="00AA2195" w:rsidRDefault="00ED052F" w:rsidP="00AA2A94">
      <w:pPr>
        <w:pStyle w:val="Heading2"/>
        <w:tabs>
          <w:tab w:val="left" w:pos="9540"/>
        </w:tabs>
      </w:pPr>
      <w:r w:rsidRPr="00AA2195">
        <w:t>Indications</w:t>
      </w:r>
    </w:p>
    <w:p w14:paraId="08050731" w14:textId="7F0680A7" w:rsidR="00F72699" w:rsidRPr="00AA2195" w:rsidRDefault="00F72699" w:rsidP="00F72699">
      <w:pPr>
        <w:pStyle w:val="BodyText"/>
      </w:pPr>
      <w:r w:rsidRPr="00AA2195">
        <w:t>The indications below including FDA-approved indications and compendial uses are considered a covered benefit provided that all the approval criteria are met and the member has no exclusions to the prescribed therapy.</w:t>
      </w:r>
    </w:p>
    <w:p w14:paraId="134B5687" w14:textId="0AC9268A" w:rsidR="00ED052F" w:rsidRPr="00AA2195" w:rsidRDefault="00ED052F" w:rsidP="00ED052F">
      <w:pPr>
        <w:pStyle w:val="Heading3"/>
        <w:keepNext w:val="0"/>
      </w:pPr>
      <w:r w:rsidRPr="00AA2195">
        <w:t>FDA-</w:t>
      </w:r>
      <w:r w:rsidR="00430BC3">
        <w:t>a</w:t>
      </w:r>
      <w:r w:rsidR="00430BC3" w:rsidRPr="00AA2195">
        <w:t xml:space="preserve">pproved </w:t>
      </w:r>
      <w:r w:rsidRPr="00AA2195">
        <w:t>Indications</w:t>
      </w:r>
      <w:r w:rsidR="00F72699" w:rsidRPr="00AA2195">
        <w:rPr>
          <w:vertAlign w:val="superscript"/>
        </w:rPr>
        <w:t>1</w:t>
      </w:r>
    </w:p>
    <w:p w14:paraId="0BC3C392" w14:textId="1364E43C" w:rsidR="00F72699" w:rsidRPr="00AA2195" w:rsidRDefault="00F72699" w:rsidP="00F72699">
      <w:pPr>
        <w:pStyle w:val="BodyText"/>
      </w:pPr>
      <w:r w:rsidRPr="00AA2195">
        <w:t>Serostim is indicated for the treatment of human immunodeficiency virus (HIV) patients with wasting or cachexia to increase lean body mass and body weight, and improve physical endurance. Concomitant antiretroviral therapy is necessary.</w:t>
      </w:r>
    </w:p>
    <w:p w14:paraId="5A814AD7" w14:textId="7032631F" w:rsidR="00F72699" w:rsidRPr="00AA2195" w:rsidRDefault="00F72699" w:rsidP="00F72699">
      <w:pPr>
        <w:pStyle w:val="BodyText"/>
      </w:pPr>
      <w:r w:rsidRPr="00AA2195">
        <w:t>All other indications are considered experimental/investigational and not medically necessary.</w:t>
      </w:r>
    </w:p>
    <w:p w14:paraId="50A38FBA" w14:textId="0FA586A8" w:rsidR="00FE0C63" w:rsidRPr="00AA2195" w:rsidRDefault="00685107" w:rsidP="00BA4335">
      <w:pPr>
        <w:pStyle w:val="Heading2"/>
        <w:keepNext w:val="0"/>
        <w:widowControl w:val="0"/>
        <w:tabs>
          <w:tab w:val="left" w:pos="9530"/>
        </w:tabs>
      </w:pPr>
      <w:r w:rsidRPr="00AA2195">
        <w:t>Coverage Criteria</w:t>
      </w:r>
    </w:p>
    <w:p w14:paraId="0FC74660" w14:textId="5632ED1F" w:rsidR="00F72699" w:rsidRPr="00AA2195" w:rsidRDefault="00F72699" w:rsidP="00BA4335">
      <w:pPr>
        <w:pStyle w:val="Heading3"/>
        <w:keepNext w:val="0"/>
        <w:keepLines w:val="0"/>
        <w:widowControl w:val="0"/>
      </w:pPr>
      <w:r w:rsidRPr="00AA2195">
        <w:t xml:space="preserve">Treatment </w:t>
      </w:r>
      <w:r w:rsidR="005F5AF7">
        <w:t>o</w:t>
      </w:r>
      <w:r w:rsidR="005F5AF7" w:rsidRPr="00AA2195">
        <w:t xml:space="preserve">f </w:t>
      </w:r>
      <w:r w:rsidRPr="00AA2195">
        <w:t xml:space="preserve">HIV </w:t>
      </w:r>
      <w:r w:rsidR="005F5AF7" w:rsidRPr="00AA2195">
        <w:t xml:space="preserve">Patients </w:t>
      </w:r>
      <w:r w:rsidR="005F5AF7">
        <w:t>w</w:t>
      </w:r>
      <w:r w:rsidR="005F5AF7" w:rsidRPr="00AA2195">
        <w:t xml:space="preserve">ith Wasting </w:t>
      </w:r>
      <w:r w:rsidR="005F5AF7">
        <w:t>o</w:t>
      </w:r>
      <w:r w:rsidR="005F5AF7" w:rsidRPr="00AA2195">
        <w:t xml:space="preserve">r Cachexia </w:t>
      </w:r>
      <w:r w:rsidR="005F5AF7">
        <w:t>t</w:t>
      </w:r>
      <w:r w:rsidR="005F5AF7" w:rsidRPr="00AA2195">
        <w:t xml:space="preserve">o Increase Lean Body Mass </w:t>
      </w:r>
      <w:r w:rsidR="005F5AF7">
        <w:t>a</w:t>
      </w:r>
      <w:r w:rsidR="005F5AF7" w:rsidRPr="00AA2195">
        <w:t xml:space="preserve">nd Body Weight, </w:t>
      </w:r>
      <w:r w:rsidR="005F5AF7">
        <w:t>a</w:t>
      </w:r>
      <w:r w:rsidR="005F5AF7" w:rsidRPr="00AA2195">
        <w:t>nd Improve Physical Endurance</w:t>
      </w:r>
      <w:r w:rsidR="005F5AF7" w:rsidRPr="00AA2195">
        <w:rPr>
          <w:vertAlign w:val="superscript"/>
        </w:rPr>
        <w:t>1-6</w:t>
      </w:r>
    </w:p>
    <w:p w14:paraId="6AE37BF5" w14:textId="77777777" w:rsidR="00F72699" w:rsidRPr="00AA2195" w:rsidRDefault="00F72699" w:rsidP="00BA4335">
      <w:pPr>
        <w:pStyle w:val="BodyText"/>
        <w:widowControl w:val="0"/>
      </w:pPr>
      <w:r w:rsidRPr="00AA2195">
        <w:t xml:space="preserve">Authorization of 12 weeks may be granted for treatment of HIV-associated wasting/cachexia when all of </w:t>
      </w:r>
      <w:r w:rsidRPr="00AA2195">
        <w:lastRenderedPageBreak/>
        <w:t>the following criteria are met:</w:t>
      </w:r>
    </w:p>
    <w:p w14:paraId="341750DA" w14:textId="5FC83C7A" w:rsidR="00F72699" w:rsidRPr="00AA2195" w:rsidRDefault="00F72699" w:rsidP="00F72699">
      <w:pPr>
        <w:pStyle w:val="ListParagraph"/>
        <w:numPr>
          <w:ilvl w:val="0"/>
          <w:numId w:val="28"/>
        </w:numPr>
      </w:pPr>
      <w:r w:rsidRPr="00AA2195">
        <w:t xml:space="preserve">Member is currently </w:t>
      </w:r>
      <w:r w:rsidR="00695CD1">
        <w:t>receiving</w:t>
      </w:r>
      <w:r w:rsidR="00695CD1" w:rsidRPr="00AA2195">
        <w:t xml:space="preserve"> </w:t>
      </w:r>
      <w:r w:rsidRPr="00AA2195">
        <w:t>antiretroviral therapy.</w:t>
      </w:r>
    </w:p>
    <w:p w14:paraId="7D8595EE" w14:textId="1E949E1D" w:rsidR="00F72699" w:rsidRPr="00AA2195" w:rsidRDefault="00F72699" w:rsidP="00F72699">
      <w:pPr>
        <w:pStyle w:val="ListParagraph"/>
        <w:numPr>
          <w:ilvl w:val="0"/>
          <w:numId w:val="28"/>
        </w:numPr>
      </w:pPr>
      <w:r w:rsidRPr="00AA2195">
        <w:t>Member has had a trial with suboptimal response or intolerance to alternative therapies (see Appendix A) or has a contraindication to alternative therapies.</w:t>
      </w:r>
    </w:p>
    <w:p w14:paraId="21C45495" w14:textId="1ACFE131" w:rsidR="00F72699" w:rsidRPr="00AA2195" w:rsidRDefault="00F72699" w:rsidP="00F72699">
      <w:pPr>
        <w:pStyle w:val="ListParagraph"/>
        <w:numPr>
          <w:ilvl w:val="0"/>
          <w:numId w:val="28"/>
        </w:numPr>
      </w:pPr>
      <w:r w:rsidRPr="00AA2195">
        <w:t xml:space="preserve">Member </w:t>
      </w:r>
      <w:r w:rsidR="00DF1348">
        <w:t>has</w:t>
      </w:r>
      <w:r w:rsidR="00DF1348" w:rsidRPr="00AA2195">
        <w:t xml:space="preserve"> </w:t>
      </w:r>
      <w:r w:rsidRPr="00AA2195">
        <w:t>a body mass index (BMI) of less than 18.5 kg/m</w:t>
      </w:r>
      <w:r w:rsidRPr="00DF1348">
        <w:rPr>
          <w:vertAlign w:val="superscript"/>
        </w:rPr>
        <w:t>2</w:t>
      </w:r>
      <w:r w:rsidRPr="00AA2195">
        <w:t xml:space="preserve"> prior to initiating therapy with Serostim (see Appendix B).</w:t>
      </w:r>
    </w:p>
    <w:p w14:paraId="3A643EC3" w14:textId="0FE21993" w:rsidR="00A501AC" w:rsidRPr="00AA2195" w:rsidRDefault="00A501AC" w:rsidP="00A501AC">
      <w:pPr>
        <w:pStyle w:val="Heading2"/>
      </w:pPr>
      <w:r w:rsidRPr="00AA2195">
        <w:t>Continuation of Therapy</w:t>
      </w:r>
    </w:p>
    <w:p w14:paraId="44CA3C21" w14:textId="77777777" w:rsidR="00F72699" w:rsidRPr="00AA2195" w:rsidRDefault="00F72699" w:rsidP="00F72699">
      <w:pPr>
        <w:pStyle w:val="BodyText"/>
      </w:pPr>
      <w:r w:rsidRPr="00AA2195">
        <w:t>Authorization of 12 weeks may be granted for continued treatment in members requesting reauthorization for treatment of HIV-associated wasting/cachexia when all of the following criteria are met:</w:t>
      </w:r>
    </w:p>
    <w:p w14:paraId="1D7191C3" w14:textId="16D83AEF" w:rsidR="00F72699" w:rsidRPr="00AA2195" w:rsidRDefault="00F72699" w:rsidP="00F72699">
      <w:pPr>
        <w:pStyle w:val="ListParagraph"/>
        <w:numPr>
          <w:ilvl w:val="0"/>
          <w:numId w:val="30"/>
        </w:numPr>
      </w:pPr>
      <w:r w:rsidRPr="00AA2195">
        <w:t xml:space="preserve">Member is currently </w:t>
      </w:r>
      <w:r w:rsidR="00695CD1">
        <w:t>receiving</w:t>
      </w:r>
      <w:r w:rsidR="00695CD1" w:rsidRPr="00AA2195">
        <w:t xml:space="preserve"> </w:t>
      </w:r>
      <w:r w:rsidRPr="00AA2195">
        <w:t>antiretroviral therapy.</w:t>
      </w:r>
    </w:p>
    <w:p w14:paraId="28F19C2A" w14:textId="005990FC" w:rsidR="00F72699" w:rsidRPr="00AA2195" w:rsidRDefault="00F72699" w:rsidP="00F72699">
      <w:pPr>
        <w:pStyle w:val="ListParagraph"/>
        <w:numPr>
          <w:ilvl w:val="0"/>
          <w:numId w:val="30"/>
        </w:numPr>
      </w:pPr>
      <w:r w:rsidRPr="00AA2195">
        <w:t xml:space="preserve">Member is currently receiving treatment with Serostim excluding </w:t>
      </w:r>
      <w:r w:rsidR="00DF1348">
        <w:t>when it is obtained</w:t>
      </w:r>
      <w:r w:rsidR="00DF1348" w:rsidRPr="00AA2195">
        <w:t xml:space="preserve"> </w:t>
      </w:r>
      <w:r w:rsidRPr="00AA2195">
        <w:t>as samples or via manufacturer’s patient assistance programs.</w:t>
      </w:r>
    </w:p>
    <w:p w14:paraId="460B5AE8" w14:textId="102E80BE" w:rsidR="00F72699" w:rsidRPr="00AA2195" w:rsidRDefault="00F72699" w:rsidP="00F72699">
      <w:pPr>
        <w:pStyle w:val="ListParagraph"/>
        <w:numPr>
          <w:ilvl w:val="0"/>
          <w:numId w:val="30"/>
        </w:numPr>
      </w:pPr>
      <w:r w:rsidRPr="00AA2195">
        <w:t xml:space="preserve">Member’s current BMI is less than 27 </w:t>
      </w:r>
      <w:r w:rsidR="009B4032">
        <w:t>kilograms per square</w:t>
      </w:r>
      <w:r w:rsidR="00831F4A">
        <w:t xml:space="preserve"> meter</w:t>
      </w:r>
      <w:r w:rsidR="009B4032">
        <w:t xml:space="preserve"> (</w:t>
      </w:r>
      <w:r w:rsidRPr="00AA2195">
        <w:t>kg/m</w:t>
      </w:r>
      <w:r w:rsidRPr="00F75382">
        <w:rPr>
          <w:vertAlign w:val="superscript"/>
        </w:rPr>
        <w:t>2</w:t>
      </w:r>
      <w:r w:rsidR="009B4032">
        <w:t>)</w:t>
      </w:r>
      <w:r w:rsidRPr="00AA2195">
        <w:t xml:space="preserve"> (see Appendix B).</w:t>
      </w:r>
    </w:p>
    <w:p w14:paraId="784D6ED7" w14:textId="2F292FD1" w:rsidR="008B1332" w:rsidRPr="00AA2195" w:rsidRDefault="00DB4B28" w:rsidP="008B1332">
      <w:pPr>
        <w:pStyle w:val="Heading2"/>
      </w:pPr>
      <w:r w:rsidRPr="00AA2195">
        <w:t>Appendi</w:t>
      </w:r>
      <w:r>
        <w:t>x</w:t>
      </w:r>
    </w:p>
    <w:p w14:paraId="4AC41E58" w14:textId="4C92668D" w:rsidR="00F72699" w:rsidRPr="00AA2195" w:rsidRDefault="00F72699" w:rsidP="00F72699">
      <w:pPr>
        <w:pStyle w:val="Heading3"/>
      </w:pPr>
      <w:r w:rsidRPr="00AA2195">
        <w:t xml:space="preserve">Appendix A – Alternative </w:t>
      </w:r>
      <w:r w:rsidR="00F75382">
        <w:t>T</w:t>
      </w:r>
      <w:r w:rsidRPr="00AA2195">
        <w:t>herapies for HIV Wasting</w:t>
      </w:r>
      <w:r w:rsidRPr="00AA2195">
        <w:rPr>
          <w:vertAlign w:val="superscript"/>
        </w:rPr>
        <w:t>3,4,7</w:t>
      </w:r>
    </w:p>
    <w:p w14:paraId="60CCF919" w14:textId="5C711286" w:rsidR="00F72699" w:rsidRPr="00AA2195" w:rsidRDefault="00F72699" w:rsidP="00F72699">
      <w:pPr>
        <w:pStyle w:val="ListParagraph"/>
        <w:numPr>
          <w:ilvl w:val="0"/>
          <w:numId w:val="32"/>
        </w:numPr>
      </w:pPr>
      <w:r w:rsidRPr="00AA2195">
        <w:t>Cyproheptadine</w:t>
      </w:r>
    </w:p>
    <w:p w14:paraId="327D19D6" w14:textId="1F6D8708" w:rsidR="00F72699" w:rsidRPr="00AA2195" w:rsidRDefault="00F72699" w:rsidP="00F72699">
      <w:pPr>
        <w:pStyle w:val="ListParagraph"/>
        <w:numPr>
          <w:ilvl w:val="0"/>
          <w:numId w:val="32"/>
        </w:numPr>
      </w:pPr>
      <w:r w:rsidRPr="00AA2195">
        <w:t>Marinol (dronabinol)</w:t>
      </w:r>
    </w:p>
    <w:p w14:paraId="0454F3D9" w14:textId="19A56018" w:rsidR="00F72699" w:rsidRPr="00AA2195" w:rsidRDefault="00F72699" w:rsidP="00F72699">
      <w:pPr>
        <w:pStyle w:val="ListParagraph"/>
        <w:numPr>
          <w:ilvl w:val="0"/>
          <w:numId w:val="32"/>
        </w:numPr>
      </w:pPr>
      <w:r w:rsidRPr="00AA2195">
        <w:t>Megace (megestrol acetate)</w:t>
      </w:r>
    </w:p>
    <w:p w14:paraId="09EFAF5E" w14:textId="5B7495BB" w:rsidR="00F72699" w:rsidRPr="00AA2195" w:rsidRDefault="00F72699" w:rsidP="00F72699">
      <w:pPr>
        <w:pStyle w:val="ListParagraph"/>
        <w:numPr>
          <w:ilvl w:val="0"/>
          <w:numId w:val="32"/>
        </w:numPr>
      </w:pPr>
      <w:r w:rsidRPr="00AA2195">
        <w:t>Testosterone therapy if hypogonadal</w:t>
      </w:r>
    </w:p>
    <w:p w14:paraId="195B2009" w14:textId="77777777" w:rsidR="00F72699" w:rsidRPr="00F75382" w:rsidRDefault="00F72699" w:rsidP="00F75382">
      <w:pPr>
        <w:pStyle w:val="Heading3"/>
      </w:pPr>
      <w:r w:rsidRPr="00AA2195">
        <w:t>Appendix B – Calculation of BMI</w:t>
      </w:r>
      <w:r w:rsidRPr="00F75382">
        <w:rPr>
          <w:vertAlign w:val="superscript"/>
        </w:rPr>
        <w:t>8</w:t>
      </w:r>
    </w:p>
    <w:p w14:paraId="1074CC61" w14:textId="454F96DB" w:rsidR="004172BF" w:rsidRPr="00AA2195" w:rsidRDefault="004172BF" w:rsidP="00AB12D9">
      <w:pPr>
        <w:pStyle w:val="BodyText"/>
      </w:pPr>
      <w:r w:rsidRPr="00AA2195">
        <w:t>BMI = [Weight (pounds) x 703] / {[Height (inches)]</w:t>
      </w:r>
      <w:r w:rsidRPr="00AA2195">
        <w:rPr>
          <w:vertAlign w:val="superscript"/>
        </w:rPr>
        <w:t>2</w:t>
      </w:r>
      <w:r w:rsidRPr="00AA2195">
        <w:t>} OR [Weight (kg)] / {[Height (m)]</w:t>
      </w:r>
      <w:r w:rsidRPr="00AA2195">
        <w:rPr>
          <w:vertAlign w:val="superscript"/>
        </w:rPr>
        <w:t>2</w:t>
      </w:r>
      <w:r w:rsidRPr="00AA2195">
        <w:t>}</w:t>
      </w:r>
    </w:p>
    <w:p w14:paraId="0ACE7E93" w14:textId="6BE538C3" w:rsidR="004172BF" w:rsidRPr="00AA2195" w:rsidRDefault="004172BF" w:rsidP="00D515EF">
      <w:pPr>
        <w:pStyle w:val="Heading4"/>
        <w:widowControl w:val="0"/>
      </w:pPr>
      <w:r w:rsidRPr="00AA2195">
        <w:t xml:space="preserve">BMI </w:t>
      </w:r>
      <w:r w:rsidR="00F75382" w:rsidRPr="00AA2195">
        <w:t>Classification</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AB12D9" w:rsidRPr="00AA2195" w14:paraId="2874BE8A" w14:textId="77777777">
        <w:trPr>
          <w:cantSplit/>
          <w:trHeight w:val="288"/>
          <w:tblHeader/>
        </w:trPr>
        <w:tc>
          <w:tcPr>
            <w:tcW w:w="5265" w:type="dxa"/>
            <w:vAlign w:val="center"/>
          </w:tcPr>
          <w:p w14:paraId="466F84D1" w14:textId="7E9E0A91" w:rsidR="00AB12D9" w:rsidRPr="00AA2195" w:rsidRDefault="00AB12D9" w:rsidP="00D515EF">
            <w:pPr>
              <w:pStyle w:val="TableHeader"/>
              <w:keepNext/>
              <w:keepLines/>
              <w:widowControl w:val="0"/>
            </w:pPr>
            <w:r w:rsidRPr="00AA2195">
              <w:t>BMI Classification</w:t>
            </w:r>
          </w:p>
        </w:tc>
        <w:tc>
          <w:tcPr>
            <w:tcW w:w="5595" w:type="dxa"/>
            <w:vAlign w:val="center"/>
          </w:tcPr>
          <w:p w14:paraId="3F472C21" w14:textId="32EA473C" w:rsidR="00AB12D9" w:rsidRPr="00AA2195" w:rsidRDefault="00AB12D9" w:rsidP="00D515EF">
            <w:pPr>
              <w:pStyle w:val="TableHeader"/>
              <w:keepNext/>
              <w:keepLines/>
              <w:widowControl w:val="0"/>
            </w:pPr>
            <w:r w:rsidRPr="00AA2195">
              <w:t>BMI Range</w:t>
            </w:r>
          </w:p>
        </w:tc>
      </w:tr>
      <w:tr w:rsidR="00AB12D9" w:rsidRPr="00AA2195" w14:paraId="6757E998" w14:textId="77777777">
        <w:trPr>
          <w:cantSplit/>
        </w:trPr>
        <w:tc>
          <w:tcPr>
            <w:tcW w:w="5265" w:type="dxa"/>
          </w:tcPr>
          <w:p w14:paraId="21BE71BA" w14:textId="662675D2" w:rsidR="00AB12D9" w:rsidRPr="00AA2195" w:rsidRDefault="00AB12D9" w:rsidP="00D515EF">
            <w:pPr>
              <w:pStyle w:val="TableDataUnpadded"/>
              <w:keepNext/>
              <w:keepLines/>
              <w:widowControl w:val="0"/>
            </w:pPr>
            <w:r w:rsidRPr="00AA2195">
              <w:t>Underweight</w:t>
            </w:r>
          </w:p>
        </w:tc>
        <w:tc>
          <w:tcPr>
            <w:tcW w:w="5595" w:type="dxa"/>
          </w:tcPr>
          <w:p w14:paraId="221DABE3" w14:textId="6BCD3A76" w:rsidR="00AB12D9" w:rsidRPr="00AA2195" w:rsidRDefault="00F72699" w:rsidP="00D515EF">
            <w:pPr>
              <w:pStyle w:val="TableDataUnpadded"/>
              <w:keepNext/>
              <w:keepLines/>
              <w:widowControl w:val="0"/>
            </w:pPr>
            <w:r w:rsidRPr="00AA2195">
              <w:t>&lt; 18.5 kg/m</w:t>
            </w:r>
            <w:r w:rsidRPr="00B53C41">
              <w:rPr>
                <w:vertAlign w:val="superscript"/>
              </w:rPr>
              <w:t>2</w:t>
            </w:r>
          </w:p>
        </w:tc>
      </w:tr>
      <w:tr w:rsidR="00AB12D9" w:rsidRPr="00AA2195" w14:paraId="24ADB8CC" w14:textId="77777777">
        <w:trPr>
          <w:cantSplit/>
        </w:trPr>
        <w:tc>
          <w:tcPr>
            <w:tcW w:w="5265" w:type="dxa"/>
          </w:tcPr>
          <w:p w14:paraId="32A96D06" w14:textId="0BA6DF8A" w:rsidR="00AB12D9" w:rsidRPr="00AA2195" w:rsidRDefault="00AB12D9" w:rsidP="00F75382">
            <w:pPr>
              <w:pStyle w:val="TableDataUnpadded"/>
            </w:pPr>
            <w:r w:rsidRPr="00AA2195">
              <w:t>Normal weight</w:t>
            </w:r>
          </w:p>
        </w:tc>
        <w:tc>
          <w:tcPr>
            <w:tcW w:w="5595" w:type="dxa"/>
          </w:tcPr>
          <w:p w14:paraId="28C83BE0" w14:textId="0A854411" w:rsidR="00AB12D9" w:rsidRPr="00AA2195" w:rsidRDefault="00F72699" w:rsidP="00F75382">
            <w:pPr>
              <w:pStyle w:val="TableDataUnpadded"/>
            </w:pPr>
            <w:r w:rsidRPr="00AA2195">
              <w:t>18.5 – 24.9 kg/m</w:t>
            </w:r>
            <w:r w:rsidRPr="00B53C41">
              <w:rPr>
                <w:vertAlign w:val="superscript"/>
              </w:rPr>
              <w:t>2</w:t>
            </w:r>
          </w:p>
        </w:tc>
      </w:tr>
      <w:tr w:rsidR="00AB12D9" w:rsidRPr="00AA2195" w14:paraId="106EBC3E" w14:textId="77777777">
        <w:trPr>
          <w:cantSplit/>
        </w:trPr>
        <w:tc>
          <w:tcPr>
            <w:tcW w:w="5265" w:type="dxa"/>
          </w:tcPr>
          <w:p w14:paraId="37973B55" w14:textId="3D1CFBC2" w:rsidR="00AB12D9" w:rsidRPr="00AA2195" w:rsidRDefault="00AB12D9" w:rsidP="00F75382">
            <w:pPr>
              <w:pStyle w:val="TableDataUnpadded"/>
            </w:pPr>
            <w:r w:rsidRPr="00AA2195">
              <w:t>Overweight</w:t>
            </w:r>
          </w:p>
        </w:tc>
        <w:tc>
          <w:tcPr>
            <w:tcW w:w="5595" w:type="dxa"/>
          </w:tcPr>
          <w:p w14:paraId="3FCC01D2" w14:textId="17958348" w:rsidR="00AB12D9" w:rsidRPr="00AA2195" w:rsidRDefault="00F72699" w:rsidP="00F75382">
            <w:pPr>
              <w:pStyle w:val="TableDataUnpadded"/>
            </w:pPr>
            <w:r w:rsidRPr="00AA2195">
              <w:t>25 – 29.9 kg/m</w:t>
            </w:r>
            <w:r w:rsidRPr="00B53C41">
              <w:rPr>
                <w:vertAlign w:val="superscript"/>
              </w:rPr>
              <w:t>2</w:t>
            </w:r>
          </w:p>
        </w:tc>
      </w:tr>
      <w:tr w:rsidR="00AB12D9" w:rsidRPr="00AA2195" w14:paraId="53164289" w14:textId="77777777">
        <w:trPr>
          <w:cantSplit/>
        </w:trPr>
        <w:tc>
          <w:tcPr>
            <w:tcW w:w="5265" w:type="dxa"/>
          </w:tcPr>
          <w:p w14:paraId="59134DAB" w14:textId="0A85B4C2" w:rsidR="00AB12D9" w:rsidRPr="00AA2195" w:rsidRDefault="00F72699" w:rsidP="00F75382">
            <w:pPr>
              <w:pStyle w:val="TableDataUnpadded"/>
            </w:pPr>
            <w:r w:rsidRPr="00AA2195">
              <w:t>Obesity (class 1)</w:t>
            </w:r>
          </w:p>
        </w:tc>
        <w:tc>
          <w:tcPr>
            <w:tcW w:w="5595" w:type="dxa"/>
          </w:tcPr>
          <w:p w14:paraId="54977FFF" w14:textId="0E2997BF" w:rsidR="00AB12D9" w:rsidRPr="00AA2195" w:rsidRDefault="00F72699" w:rsidP="00F75382">
            <w:pPr>
              <w:pStyle w:val="TableDataUnpadded"/>
            </w:pPr>
            <w:r w:rsidRPr="00AA2195">
              <w:t>30 – 34.9 kg/m</w:t>
            </w:r>
            <w:r w:rsidRPr="00B53C41">
              <w:rPr>
                <w:vertAlign w:val="superscript"/>
              </w:rPr>
              <w:t>2</w:t>
            </w:r>
          </w:p>
        </w:tc>
      </w:tr>
      <w:tr w:rsidR="00F72699" w:rsidRPr="00AA2195" w14:paraId="191F8A3D" w14:textId="77777777">
        <w:trPr>
          <w:cantSplit/>
        </w:trPr>
        <w:tc>
          <w:tcPr>
            <w:tcW w:w="5265" w:type="dxa"/>
          </w:tcPr>
          <w:p w14:paraId="0E2E9FA0" w14:textId="6A070E2A" w:rsidR="00F72699" w:rsidRPr="00AA2195" w:rsidRDefault="00F72699" w:rsidP="00F75382">
            <w:pPr>
              <w:pStyle w:val="TableDataUnpadded"/>
            </w:pPr>
            <w:r w:rsidRPr="00AA2195">
              <w:t>Obesity (class 2)</w:t>
            </w:r>
          </w:p>
        </w:tc>
        <w:tc>
          <w:tcPr>
            <w:tcW w:w="5595" w:type="dxa"/>
          </w:tcPr>
          <w:p w14:paraId="2DAE7732" w14:textId="5B16B630" w:rsidR="00F72699" w:rsidRPr="00AA2195" w:rsidRDefault="00F72699" w:rsidP="00F75382">
            <w:pPr>
              <w:pStyle w:val="TableDataUnpadded"/>
            </w:pPr>
            <w:r w:rsidRPr="00AA2195">
              <w:t>35 – 39.9 kg/m</w:t>
            </w:r>
            <w:r w:rsidRPr="00B53C41">
              <w:rPr>
                <w:vertAlign w:val="superscript"/>
              </w:rPr>
              <w:t>2</w:t>
            </w:r>
          </w:p>
        </w:tc>
      </w:tr>
      <w:tr w:rsidR="00F72699" w:rsidRPr="00AA2195" w14:paraId="228A8D12" w14:textId="77777777">
        <w:trPr>
          <w:cantSplit/>
        </w:trPr>
        <w:tc>
          <w:tcPr>
            <w:tcW w:w="5265" w:type="dxa"/>
          </w:tcPr>
          <w:p w14:paraId="71D6FC07" w14:textId="764D4D48" w:rsidR="00F72699" w:rsidRPr="00AA2195" w:rsidRDefault="00F72699" w:rsidP="00F75382">
            <w:pPr>
              <w:pStyle w:val="TableDataUnpadded"/>
            </w:pPr>
            <w:r w:rsidRPr="00AA2195">
              <w:lastRenderedPageBreak/>
              <w:t>Extreme obesity (class 3)</w:t>
            </w:r>
          </w:p>
        </w:tc>
        <w:tc>
          <w:tcPr>
            <w:tcW w:w="5595" w:type="dxa"/>
          </w:tcPr>
          <w:p w14:paraId="5F8F966C" w14:textId="68BAEEFC" w:rsidR="00F72699" w:rsidRPr="00AA2195" w:rsidRDefault="00F72699" w:rsidP="00F75382">
            <w:pPr>
              <w:pStyle w:val="TableDataUnpadded"/>
            </w:pPr>
            <w:r w:rsidRPr="00AA2195">
              <w:rPr>
                <w:rFonts w:ascii="Arial" w:hAnsi="Arial"/>
              </w:rPr>
              <w:t>≥</w:t>
            </w:r>
            <w:r w:rsidRPr="00AA2195">
              <w:t xml:space="preserve"> 40 kg/m</w:t>
            </w:r>
            <w:r w:rsidRPr="00B53C41">
              <w:rPr>
                <w:vertAlign w:val="superscript"/>
              </w:rPr>
              <w:t>2</w:t>
            </w:r>
          </w:p>
        </w:tc>
      </w:tr>
    </w:tbl>
    <w:p w14:paraId="10DA4309" w14:textId="6A16E49F" w:rsidR="00FF66BF" w:rsidRPr="00AA2195" w:rsidRDefault="00FF66BF" w:rsidP="00FF66BF">
      <w:pPr>
        <w:pStyle w:val="Heading2"/>
      </w:pPr>
      <w:r w:rsidRPr="00AA2195">
        <w:t>References</w:t>
      </w:r>
    </w:p>
    <w:p w14:paraId="4B652EA5" w14:textId="06E097EC" w:rsidR="007B2B2D" w:rsidRPr="00D515EF" w:rsidRDefault="007B2B2D" w:rsidP="00D515EF">
      <w:pPr>
        <w:pStyle w:val="ReferenceOrdered"/>
      </w:pPr>
      <w:r w:rsidRPr="00D515EF">
        <w:t>Serostim [package insert]. Rockland, MA: EMD Serono, Inc.; June 2019.</w:t>
      </w:r>
    </w:p>
    <w:p w14:paraId="03BB5A32" w14:textId="071BC2D5" w:rsidR="007B2B2D" w:rsidRPr="00D515EF" w:rsidRDefault="007B2B2D" w:rsidP="00D515EF">
      <w:pPr>
        <w:pStyle w:val="ReferenceOrdered"/>
      </w:pPr>
      <w:proofErr w:type="spellStart"/>
      <w:r w:rsidRPr="00D515EF">
        <w:t>Mangili</w:t>
      </w:r>
      <w:proofErr w:type="spellEnd"/>
      <w:r w:rsidRPr="00D515EF">
        <w:t xml:space="preserve"> A, </w:t>
      </w:r>
      <w:proofErr w:type="spellStart"/>
      <w:r w:rsidRPr="00D515EF">
        <w:t>Murman</w:t>
      </w:r>
      <w:proofErr w:type="spellEnd"/>
      <w:r w:rsidRPr="00D515EF">
        <w:t xml:space="preserve"> </w:t>
      </w:r>
      <w:r w:rsidR="009C0392">
        <w:t>D</w:t>
      </w:r>
      <w:r w:rsidRPr="00D515EF">
        <w:t xml:space="preserve">H, </w:t>
      </w:r>
      <w:proofErr w:type="spellStart"/>
      <w:r w:rsidRPr="00D515EF">
        <w:t>Zampini</w:t>
      </w:r>
      <w:proofErr w:type="spellEnd"/>
      <w:r w:rsidRPr="00D515EF">
        <w:t xml:space="preserve"> AM, </w:t>
      </w:r>
      <w:proofErr w:type="spellStart"/>
      <w:r w:rsidR="009C0392">
        <w:t>Wanke</w:t>
      </w:r>
      <w:proofErr w:type="spellEnd"/>
      <w:r w:rsidR="009C0392">
        <w:t xml:space="preserve"> CA, Mayer KH</w:t>
      </w:r>
      <w:r w:rsidRPr="00D515EF">
        <w:t>. Nutrition and HIV infection: review of weight loss and wasting in the era of highly active antiretroviral therapy from the nutrition for healthy living cohort. Clin Infect Dis. 2006;42:836-42.</w:t>
      </w:r>
    </w:p>
    <w:p w14:paraId="457FD301" w14:textId="135DC56C" w:rsidR="007B2B2D" w:rsidRPr="00D515EF" w:rsidRDefault="007B2B2D" w:rsidP="00D515EF">
      <w:pPr>
        <w:pStyle w:val="ReferenceOrdered"/>
      </w:pPr>
      <w:r w:rsidRPr="00D515EF">
        <w:t>Grinspoon S, Mulligan K for the Department of Health and Human Services Working Group on the Prevention and Treatment of Wasting and Weight Loss. Weight loss and wasting in patients infected with human immunodeficiency virus. Clin Infect Dis. 2003;36(Suppl 2):S69-78.</w:t>
      </w:r>
    </w:p>
    <w:p w14:paraId="53CEB8F6" w14:textId="4DB207C8" w:rsidR="007B2B2D" w:rsidRPr="00D515EF" w:rsidRDefault="007B2B2D" w:rsidP="00D515EF">
      <w:pPr>
        <w:pStyle w:val="ReferenceOrdered"/>
      </w:pPr>
      <w:r w:rsidRPr="00D515EF">
        <w:t>Polsky B, Kotler D, Steinhart C. HIV-associated wasting in the HAART era: guidelines for assessment, diagnosis, and treatment. AIDS Patient Care STDS. 2001;15(8):411-23.</w:t>
      </w:r>
    </w:p>
    <w:p w14:paraId="3C9A88EA" w14:textId="6BDB0AEC" w:rsidR="007B2B2D" w:rsidRPr="00D515EF" w:rsidRDefault="007B2B2D" w:rsidP="00D515EF">
      <w:pPr>
        <w:pStyle w:val="ReferenceOrdered"/>
      </w:pPr>
      <w:proofErr w:type="spellStart"/>
      <w:r w:rsidRPr="00D515EF">
        <w:t>Schambelan</w:t>
      </w:r>
      <w:proofErr w:type="spellEnd"/>
      <w:r w:rsidRPr="00D515EF">
        <w:t xml:space="preserve"> M, Mulligan K, Grunfeld C, et al. Recombinant human growth hormone in patients with HIV-associated wasting: a randomized placebo-controlled trial. Ann Intern Med. 1996;125:873-882.</w:t>
      </w:r>
    </w:p>
    <w:p w14:paraId="0F8340CB" w14:textId="7E6999E0" w:rsidR="007B2B2D" w:rsidRPr="00D515EF" w:rsidRDefault="007B2B2D" w:rsidP="00D515EF">
      <w:pPr>
        <w:pStyle w:val="ReferenceOrdered"/>
      </w:pPr>
      <w:r w:rsidRPr="00D515EF">
        <w:t xml:space="preserve">Evans WJ, Kotler DP, </w:t>
      </w:r>
      <w:proofErr w:type="spellStart"/>
      <w:r w:rsidRPr="00D515EF">
        <w:t>Staszewski</w:t>
      </w:r>
      <w:proofErr w:type="spellEnd"/>
      <w:r w:rsidRPr="00D515EF">
        <w:t xml:space="preserve"> S, et al. Effect of recombinant human growth hormone on exercise capacity in patients with HIV-associated wasting on HAART. AIDS Read. 2005;15:301-314.</w:t>
      </w:r>
    </w:p>
    <w:p w14:paraId="39595FAC" w14:textId="02DC9DE7" w:rsidR="007B2B2D" w:rsidRPr="00D515EF" w:rsidRDefault="007B2B2D" w:rsidP="00D515EF">
      <w:pPr>
        <w:pStyle w:val="ReferenceOrdered"/>
      </w:pPr>
      <w:r w:rsidRPr="00D515EF">
        <w:t>Nemechek PM, Polsky B, Gottlieb MS. Treatment guidelines for HIV-associated wasting. Mayo Clin Proc. 2000;75:386-394.</w:t>
      </w:r>
    </w:p>
    <w:p w14:paraId="3B5CF57C" w14:textId="489CCE85" w:rsidR="00F72699" w:rsidRPr="00D515EF" w:rsidRDefault="007B2B2D" w:rsidP="00D515EF">
      <w:pPr>
        <w:pStyle w:val="ReferenceOrdered"/>
      </w:pPr>
      <w:r w:rsidRPr="00D515EF">
        <w:t>National Heart, Lung, and Blood Institute</w:t>
      </w:r>
      <w:r w:rsidR="00762D36">
        <w:t xml:space="preserve"> (NHLBI)</w:t>
      </w:r>
      <w:r w:rsidRPr="00D515EF">
        <w:t xml:space="preserve"> Obesity Education Initiative</w:t>
      </w:r>
      <w:r w:rsidR="00762D36">
        <w:t>.</w:t>
      </w:r>
      <w:r w:rsidRPr="00D515EF">
        <w:t xml:space="preserve"> The practical guide: identification, evaluation, and treatment of overweight and obesity in adults. Bethesda, MD: US Department of Health and Human Services, </w:t>
      </w:r>
      <w:r w:rsidR="0095080A">
        <w:t xml:space="preserve">Public Health Service, National Institutes of Health, </w:t>
      </w:r>
      <w:r w:rsidR="00762D36">
        <w:t>NHLBI</w:t>
      </w:r>
      <w:r w:rsidRPr="00D515EF">
        <w:t>; 2000. NIH Publication No. 00-4084.</w:t>
      </w:r>
    </w:p>
    <w:sectPr w:rsidR="00F72699" w:rsidRPr="00D515EF" w:rsidSect="00AA1E6A">
      <w:headerReference w:type="first" r:id="rId15"/>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F478F" w14:textId="77777777" w:rsidR="00A1338E" w:rsidRDefault="00A1338E">
      <w:r>
        <w:separator/>
      </w:r>
    </w:p>
  </w:endnote>
  <w:endnote w:type="continuationSeparator" w:id="0">
    <w:p w14:paraId="221D46FD" w14:textId="77777777" w:rsidR="00A1338E" w:rsidRDefault="00A1338E">
      <w:r>
        <w:continuationSeparator/>
      </w:r>
    </w:p>
  </w:endnote>
  <w:endnote w:type="continuationNotice" w:id="1">
    <w:p w14:paraId="23D1F476" w14:textId="77777777" w:rsidR="00A1338E" w:rsidRDefault="00A133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76760BE"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3305E" w:rsidRPr="00B3305E">
      <w:rPr>
        <w:rFonts w:cs="Arial"/>
        <w:noProof/>
        <w:sz w:val="16"/>
        <w:szCs w:val="16"/>
      </w:rPr>
      <w:t>Serostim</w:t>
    </w:r>
    <w:r w:rsidR="00B3305E">
      <w:rPr>
        <w:rFonts w:cs="Arial"/>
        <w:noProof/>
        <w:snapToGrid w:val="0"/>
        <w:color w:val="000000"/>
        <w:sz w:val="16"/>
        <w:szCs w:val="16"/>
      </w:rPr>
      <w:t xml:space="preserve"> SGM 1870-A</w:t>
    </w:r>
    <w:r w:rsidR="00B3305E" w:rsidRPr="00B3305E">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w:t>
    </w:r>
    <w:r w:rsidR="00662128">
      <w:rPr>
        <w:rFonts w:cs="Arial"/>
        <w:snapToGrid w:val="0"/>
        <w:color w:val="000000"/>
        <w:sz w:val="16"/>
      </w:rPr>
      <w:t>25</w:t>
    </w:r>
    <w:r w:rsidRPr="00EC47B6">
      <w:rPr>
        <w:rFonts w:cs="Arial"/>
        <w:snapToGrid w:val="0"/>
        <w:color w:val="000000"/>
        <w:sz w:val="16"/>
      </w:rPr>
      <w:t xml:space="preserve"> CVS Caremark. All rights reserved.</w:t>
    </w:r>
  </w:p>
  <w:p w14:paraId="61CF5924" w14:textId="5A1C35B2"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4BADF6E" w:rsidR="00F75C81" w:rsidRPr="00AA1E6A" w:rsidRDefault="00C36B72" w:rsidP="000E415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DE36A91"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3305E" w:rsidRPr="00B3305E">
      <w:rPr>
        <w:rFonts w:cs="Arial"/>
        <w:noProof/>
        <w:sz w:val="16"/>
        <w:szCs w:val="16"/>
      </w:rPr>
      <w:t>Serostim</w:t>
    </w:r>
    <w:r w:rsidR="00B3305E">
      <w:rPr>
        <w:rFonts w:cs="Arial"/>
        <w:noProof/>
        <w:snapToGrid w:val="0"/>
        <w:color w:val="000000"/>
        <w:sz w:val="16"/>
        <w:szCs w:val="16"/>
      </w:rPr>
      <w:t xml:space="preserve"> SGM 1870-A</w:t>
    </w:r>
    <w:r w:rsidR="00B3305E" w:rsidRPr="00B3305E">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w:t>
    </w:r>
    <w:r w:rsidR="00662128">
      <w:rPr>
        <w:rFonts w:cs="Arial"/>
        <w:snapToGrid w:val="0"/>
        <w:color w:val="000000"/>
        <w:sz w:val="16"/>
      </w:rPr>
      <w:t>25</w:t>
    </w:r>
    <w:r w:rsidRPr="00EC47B6">
      <w:rPr>
        <w:rFonts w:cs="Arial"/>
        <w:snapToGrid w:val="0"/>
        <w:color w:val="000000"/>
        <w:sz w:val="16"/>
      </w:rPr>
      <w:t xml:space="preserve"> CVS Caremark. All rights reserved.</w:t>
    </w:r>
  </w:p>
  <w:p w14:paraId="39BFE579" w14:textId="701A763F"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9321F29" w:rsidR="00ED04EC" w:rsidRPr="00F50D98" w:rsidRDefault="00F50D98" w:rsidP="000E415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6BCBD" w14:textId="77777777" w:rsidR="00A1338E" w:rsidRDefault="00A1338E">
      <w:r>
        <w:separator/>
      </w:r>
    </w:p>
  </w:footnote>
  <w:footnote w:type="continuationSeparator" w:id="0">
    <w:p w14:paraId="49EE38C3" w14:textId="77777777" w:rsidR="00A1338E" w:rsidRDefault="00A1338E">
      <w:r>
        <w:continuationSeparator/>
      </w:r>
    </w:p>
  </w:footnote>
  <w:footnote w:type="continuationNotice" w:id="1">
    <w:p w14:paraId="6BD962BE" w14:textId="77777777" w:rsidR="00A1338E" w:rsidRDefault="00A133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7B2B2D" w:rsidRDefault="00ED04EC" w:rsidP="00ED04EC">
          <w:pPr>
            <w:pStyle w:val="Header"/>
            <w:rPr>
              <w:rFonts w:cs="Arial"/>
              <w:sz w:val="16"/>
              <w:szCs w:val="16"/>
            </w:rPr>
          </w:pPr>
          <w:r w:rsidRPr="007B2B2D">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31AE8809" w:rsidR="00ED04EC" w:rsidRPr="007B2B2D" w:rsidRDefault="007B2B2D" w:rsidP="00ED04EC">
          <w:pPr>
            <w:pStyle w:val="Header"/>
            <w:rPr>
              <w:rFonts w:cs="Arial"/>
              <w:sz w:val="16"/>
              <w:szCs w:val="16"/>
            </w:rPr>
          </w:pPr>
          <w:r w:rsidRPr="007B2B2D">
            <w:rPr>
              <w:rFonts w:cs="Arial"/>
              <w:sz w:val="16"/>
              <w:szCs w:val="16"/>
            </w:rPr>
            <w:t>1870-A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7B2B2D" w:rsidRPr="007B2B2D" w14:paraId="6601D1E3" w14:textId="77777777" w:rsidTr="00D93FB4">
      <w:trPr>
        <w:trHeight w:val="144"/>
        <w:jc w:val="right"/>
      </w:trPr>
      <w:tc>
        <w:tcPr>
          <w:tcW w:w="1854" w:type="dxa"/>
          <w:hideMark/>
        </w:tcPr>
        <w:p w14:paraId="1031EA9A" w14:textId="77777777" w:rsidR="007B2B2D" w:rsidRPr="007B2B2D" w:rsidRDefault="007B2B2D" w:rsidP="007B2B2D">
          <w:pPr>
            <w:pStyle w:val="Header"/>
            <w:rPr>
              <w:rFonts w:cs="Arial"/>
              <w:sz w:val="16"/>
              <w:szCs w:val="16"/>
            </w:rPr>
          </w:pPr>
          <w:r w:rsidRPr="007B2B2D">
            <w:rPr>
              <w:rFonts w:cs="Arial"/>
              <w:sz w:val="16"/>
              <w:szCs w:val="16"/>
            </w:rPr>
            <w:t>Reference number(s)</w:t>
          </w:r>
        </w:p>
      </w:tc>
    </w:tr>
    <w:tr w:rsidR="007B2B2D" w:rsidRPr="007B2B2D" w14:paraId="4F992C51" w14:textId="77777777" w:rsidTr="00D93FB4">
      <w:trPr>
        <w:trHeight w:val="378"/>
        <w:jc w:val="right"/>
      </w:trPr>
      <w:tc>
        <w:tcPr>
          <w:tcW w:w="1854" w:type="dxa"/>
          <w:hideMark/>
        </w:tcPr>
        <w:p w14:paraId="6EDDD74A" w14:textId="77777777" w:rsidR="007B2B2D" w:rsidRPr="007B2B2D" w:rsidRDefault="007B2B2D" w:rsidP="007B2B2D">
          <w:pPr>
            <w:pStyle w:val="Header"/>
            <w:rPr>
              <w:rFonts w:cs="Arial"/>
              <w:sz w:val="16"/>
              <w:szCs w:val="16"/>
            </w:rPr>
          </w:pPr>
          <w:r w:rsidRPr="007B2B2D">
            <w:rPr>
              <w:rFonts w:cs="Arial"/>
              <w:sz w:val="16"/>
              <w:szCs w:val="16"/>
            </w:rPr>
            <w:t>1870-A</w:t>
          </w:r>
        </w:p>
      </w:tc>
    </w:tr>
  </w:tbl>
  <w:p w14:paraId="3AD172E7" w14:textId="77777777" w:rsidR="007B2B2D" w:rsidRPr="007B2B2D" w:rsidRDefault="007B2B2D">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81C1527"/>
    <w:multiLevelType w:val="hybridMultilevel"/>
    <w:tmpl w:val="FE628592"/>
    <w:lvl w:ilvl="0" w:tplc="1D76BB5A">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DBE4C1D"/>
    <w:multiLevelType w:val="hybridMultilevel"/>
    <w:tmpl w:val="D58E56F2"/>
    <w:lvl w:ilvl="0" w:tplc="08C259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5C3D04"/>
    <w:multiLevelType w:val="hybridMultilevel"/>
    <w:tmpl w:val="F286C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C585F4C"/>
    <w:multiLevelType w:val="hybridMultilevel"/>
    <w:tmpl w:val="6F4AC356"/>
    <w:lvl w:ilvl="0" w:tplc="B0B2206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980468"/>
    <w:multiLevelType w:val="hybridMultilevel"/>
    <w:tmpl w:val="6EECE0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E003A5"/>
    <w:multiLevelType w:val="hybridMultilevel"/>
    <w:tmpl w:val="FC5CE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647917"/>
    <w:multiLevelType w:val="hybridMultilevel"/>
    <w:tmpl w:val="68388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30"/>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21"/>
  </w:num>
  <w:num w:numId="17" w16cid:durableId="2128498676">
    <w:abstractNumId w:val="32"/>
  </w:num>
  <w:num w:numId="18" w16cid:durableId="299724409">
    <w:abstractNumId w:val="27"/>
  </w:num>
  <w:num w:numId="19" w16cid:durableId="214585573">
    <w:abstractNumId w:val="14"/>
  </w:num>
  <w:num w:numId="20" w16cid:durableId="1289816170">
    <w:abstractNumId w:val="17"/>
  </w:num>
  <w:num w:numId="21" w16cid:durableId="1066490929">
    <w:abstractNumId w:val="33"/>
  </w:num>
  <w:num w:numId="22" w16cid:durableId="1472481103">
    <w:abstractNumId w:val="29"/>
  </w:num>
  <w:num w:numId="23" w16cid:durableId="1997420403">
    <w:abstractNumId w:val="31"/>
  </w:num>
  <w:num w:numId="24" w16cid:durableId="33312838">
    <w:abstractNumId w:val="28"/>
  </w:num>
  <w:num w:numId="25" w16cid:durableId="507404939">
    <w:abstractNumId w:val="20"/>
  </w:num>
  <w:num w:numId="26" w16cid:durableId="1950313333">
    <w:abstractNumId w:val="24"/>
  </w:num>
  <w:num w:numId="27" w16cid:durableId="1866016584">
    <w:abstractNumId w:val="22"/>
  </w:num>
  <w:num w:numId="28" w16cid:durableId="1081101251">
    <w:abstractNumId w:val="25"/>
  </w:num>
  <w:num w:numId="29" w16cid:durableId="2120568428">
    <w:abstractNumId w:val="18"/>
  </w:num>
  <w:num w:numId="30" w16cid:durableId="74060114">
    <w:abstractNumId w:val="16"/>
  </w:num>
  <w:num w:numId="31" w16cid:durableId="539704183">
    <w:abstractNumId w:val="13"/>
  </w:num>
  <w:num w:numId="32" w16cid:durableId="2122874312">
    <w:abstractNumId w:val="23"/>
  </w:num>
  <w:num w:numId="33" w16cid:durableId="1222908353">
    <w:abstractNumId w:val="19"/>
  </w:num>
  <w:num w:numId="34" w16cid:durableId="776488263">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766"/>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0F7"/>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7CC"/>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52A"/>
    <w:rsid w:val="000D7ED8"/>
    <w:rsid w:val="000E0438"/>
    <w:rsid w:val="000E095D"/>
    <w:rsid w:val="000E0C62"/>
    <w:rsid w:val="000E24FA"/>
    <w:rsid w:val="000E29F3"/>
    <w:rsid w:val="000E2ECC"/>
    <w:rsid w:val="000E37E4"/>
    <w:rsid w:val="000E3A1B"/>
    <w:rsid w:val="000E3DD4"/>
    <w:rsid w:val="000E4157"/>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2FA7"/>
    <w:rsid w:val="00153164"/>
    <w:rsid w:val="00154752"/>
    <w:rsid w:val="001548F0"/>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267"/>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3753"/>
    <w:rsid w:val="002041BB"/>
    <w:rsid w:val="002041DB"/>
    <w:rsid w:val="00204EAC"/>
    <w:rsid w:val="002063D0"/>
    <w:rsid w:val="00206414"/>
    <w:rsid w:val="0020721A"/>
    <w:rsid w:val="00207648"/>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453"/>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56D8C"/>
    <w:rsid w:val="00260902"/>
    <w:rsid w:val="00260A91"/>
    <w:rsid w:val="00261738"/>
    <w:rsid w:val="00261EF6"/>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5EA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AB0"/>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046F"/>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9C"/>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39D6"/>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0BC3"/>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D7935"/>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3E67"/>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E7772"/>
    <w:rsid w:val="005F0A5B"/>
    <w:rsid w:val="005F10FC"/>
    <w:rsid w:val="005F1A16"/>
    <w:rsid w:val="005F2E73"/>
    <w:rsid w:val="005F3979"/>
    <w:rsid w:val="005F3DBD"/>
    <w:rsid w:val="005F4CD7"/>
    <w:rsid w:val="005F557C"/>
    <w:rsid w:val="005F5AF7"/>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28"/>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2D5D"/>
    <w:rsid w:val="00693997"/>
    <w:rsid w:val="00693B34"/>
    <w:rsid w:val="00694B18"/>
    <w:rsid w:val="00694B30"/>
    <w:rsid w:val="00694B8A"/>
    <w:rsid w:val="00694C2D"/>
    <w:rsid w:val="00695CD1"/>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57CF"/>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1DD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36"/>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2B2D"/>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0C0A"/>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F4A"/>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86B"/>
    <w:rsid w:val="00895C0F"/>
    <w:rsid w:val="00895FE5"/>
    <w:rsid w:val="00896FAB"/>
    <w:rsid w:val="008973E6"/>
    <w:rsid w:val="00897778"/>
    <w:rsid w:val="00897A39"/>
    <w:rsid w:val="00897BD4"/>
    <w:rsid w:val="00897C3B"/>
    <w:rsid w:val="008A08A4"/>
    <w:rsid w:val="008A15EC"/>
    <w:rsid w:val="008A183F"/>
    <w:rsid w:val="008A4526"/>
    <w:rsid w:val="008A4B15"/>
    <w:rsid w:val="008A4CB3"/>
    <w:rsid w:val="008A4FDA"/>
    <w:rsid w:val="008A54AF"/>
    <w:rsid w:val="008A5C29"/>
    <w:rsid w:val="008A61A8"/>
    <w:rsid w:val="008A64CF"/>
    <w:rsid w:val="008A6658"/>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4C5A"/>
    <w:rsid w:val="0094553A"/>
    <w:rsid w:val="00946CDC"/>
    <w:rsid w:val="00947FC1"/>
    <w:rsid w:val="0095080A"/>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4032"/>
    <w:rsid w:val="009B579E"/>
    <w:rsid w:val="009B5866"/>
    <w:rsid w:val="009B5A24"/>
    <w:rsid w:val="009B6153"/>
    <w:rsid w:val="009B7708"/>
    <w:rsid w:val="009C0392"/>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308"/>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00B"/>
    <w:rsid w:val="00A10362"/>
    <w:rsid w:val="00A11268"/>
    <w:rsid w:val="00A11ADE"/>
    <w:rsid w:val="00A1225D"/>
    <w:rsid w:val="00A12465"/>
    <w:rsid w:val="00A12A59"/>
    <w:rsid w:val="00A1338E"/>
    <w:rsid w:val="00A1366E"/>
    <w:rsid w:val="00A1485F"/>
    <w:rsid w:val="00A14BF4"/>
    <w:rsid w:val="00A14F1C"/>
    <w:rsid w:val="00A156C9"/>
    <w:rsid w:val="00A15AE5"/>
    <w:rsid w:val="00A16536"/>
    <w:rsid w:val="00A168CB"/>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506"/>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746"/>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195"/>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B6"/>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05E"/>
    <w:rsid w:val="00B33563"/>
    <w:rsid w:val="00B3404B"/>
    <w:rsid w:val="00B34094"/>
    <w:rsid w:val="00B343F3"/>
    <w:rsid w:val="00B34FE4"/>
    <w:rsid w:val="00B36321"/>
    <w:rsid w:val="00B40452"/>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3C41"/>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4335"/>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10B"/>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5EF"/>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7C5"/>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0151"/>
    <w:rsid w:val="00DB11BA"/>
    <w:rsid w:val="00DB1811"/>
    <w:rsid w:val="00DB1B3D"/>
    <w:rsid w:val="00DB2117"/>
    <w:rsid w:val="00DB259D"/>
    <w:rsid w:val="00DB29B3"/>
    <w:rsid w:val="00DB3F87"/>
    <w:rsid w:val="00DB41D7"/>
    <w:rsid w:val="00DB4476"/>
    <w:rsid w:val="00DB45F8"/>
    <w:rsid w:val="00DB45FA"/>
    <w:rsid w:val="00DB4B28"/>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E790B"/>
    <w:rsid w:val="00DF1348"/>
    <w:rsid w:val="00DF14FB"/>
    <w:rsid w:val="00DF5638"/>
    <w:rsid w:val="00DF5C9E"/>
    <w:rsid w:val="00DF63C8"/>
    <w:rsid w:val="00DF64CA"/>
    <w:rsid w:val="00DF6C92"/>
    <w:rsid w:val="00DF7FFE"/>
    <w:rsid w:val="00E00661"/>
    <w:rsid w:val="00E018AE"/>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2909"/>
    <w:rsid w:val="00E13FD8"/>
    <w:rsid w:val="00E1521E"/>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0738"/>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710"/>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17F53"/>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699"/>
    <w:rsid w:val="00F729CF"/>
    <w:rsid w:val="00F72FC2"/>
    <w:rsid w:val="00F749A8"/>
    <w:rsid w:val="00F74F32"/>
    <w:rsid w:val="00F7538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3EF9"/>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68B"/>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630"/>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9D2"/>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infopath/2007/PartnerControls"/>
    <ds:schemaRef ds:uri="http://purl.org/dc/terms/"/>
    <ds:schemaRef ds:uri="102fadf2-6cae-45bc-95f6-bc2613b98572"/>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ce173f13-e3a2-4c5f-8c54-d0382ae88016"/>
    <ds:schemaRef ds:uri="http://www.w3.org/XML/1998/namespace"/>
    <ds:schemaRef ds:uri="http://purl.org/dc/dcmitype/"/>
  </ds:schemaRefs>
</ds:datastoreItem>
</file>

<file path=customXml/itemProps3.xml><?xml version="1.0" encoding="utf-8"?>
<ds:datastoreItem xmlns:ds="http://schemas.openxmlformats.org/officeDocument/2006/customXml" ds:itemID="{02112088-8CDB-43DF-94BC-2A6B65E653DA}"/>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599</Words>
  <Characters>3598</Characters>
  <Application>Microsoft Office Word</Application>
  <DocSecurity>0</DocSecurity>
  <Lines>116</Lines>
  <Paragraphs>93</Paragraphs>
  <ScaleCrop>false</ScaleCrop>
  <HeadingPairs>
    <vt:vector size="2" baseType="variant">
      <vt:variant>
        <vt:lpstr>Title</vt:lpstr>
      </vt:variant>
      <vt:variant>
        <vt:i4>1</vt:i4>
      </vt:variant>
    </vt:vector>
  </HeadingPairs>
  <TitlesOfParts>
    <vt:vector size="1" baseType="lpstr">
      <vt:lpstr>Serostim 1870-A SGM 2024</vt:lpstr>
    </vt:vector>
  </TitlesOfParts>
  <Company>PCS Health Systems</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Serostim SGM 1870-A</dc:title>
  <dc:subject>Serostim SGM 1870-A</dc:subject>
  <dc:creator>CVS Caremark</dc:creator>
  <cp:keywords/>
  <cp:lastModifiedBy>Ortiz, Erica M</cp:lastModifiedBy>
  <cp:revision>4</cp:revision>
  <cp:lastPrinted>2018-01-09T05:01:00Z</cp:lastPrinted>
  <dcterms:created xsi:type="dcterms:W3CDTF">2025-03-06T20:19:00Z</dcterms:created>
  <dcterms:modified xsi:type="dcterms:W3CDTF">2025-03-06T20:20:00Z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1142400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ies>
</file>